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F" w:rsidRPr="002158FA" w:rsidRDefault="00433E7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33E7F" w:rsidRPr="002158FA" w:rsidRDefault="00433E7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33E7F" w:rsidRPr="002158FA" w:rsidRDefault="00433E7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433E7F" w:rsidRPr="002158FA" w:rsidRDefault="00433E7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33E7F" w:rsidRPr="002158FA" w:rsidRDefault="00433E7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06-2/265-17</w:t>
      </w:r>
    </w:p>
    <w:p w:rsidR="00433E7F" w:rsidRPr="002158FA" w:rsidRDefault="00B8375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>. децембар 2017. године</w:t>
      </w:r>
    </w:p>
    <w:p w:rsidR="00433E7F" w:rsidRPr="002158FA" w:rsidRDefault="00433E7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D374B5" w:rsidRDefault="00D374B5" w:rsidP="002158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492" w:rsidRPr="00BE2492" w:rsidRDefault="00BE2492" w:rsidP="002158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3752" w:rsidRPr="002158FA" w:rsidRDefault="00B83752" w:rsidP="00350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B83752" w:rsidRPr="002158FA" w:rsidRDefault="00B83752" w:rsidP="00350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21. СЕДНИЦЕ ОДБОРА ЗА ПРИВРЕДУ, РЕГИОНАЛНИ РАЗВОЈ, ТРГОВИНУ,</w:t>
      </w:r>
    </w:p>
    <w:p w:rsidR="00B83752" w:rsidRPr="002158FA" w:rsidRDefault="00B83752" w:rsidP="00350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ТУРИЗАМ И ЕНЕРГЕТИКУ,ОДРЖАНЕ 4. ДЕЦЕМБРА 2017. ГОДИНЕ</w:t>
      </w:r>
    </w:p>
    <w:p w:rsidR="00B83752" w:rsidRPr="002158FA" w:rsidRDefault="00B8375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2158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3752" w:rsidRPr="002158FA" w:rsidRDefault="00350247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375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12</w:t>
      </w:r>
      <w:r w:rsidR="00B12454">
        <w:rPr>
          <w:rFonts w:ascii="Times New Roman" w:eastAsia="Times New Roman" w:hAnsi="Times New Roman" w:cs="Times New Roman"/>
          <w:sz w:val="24"/>
          <w:szCs w:val="24"/>
        </w:rPr>
        <w:t>,02</w:t>
      </w:r>
      <w:r w:rsidR="00B8375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Драгомир Ј. Карић, Студенка Ковачевић, Јелена Мијатовић, Зоран Бојанић,  Иван Манојловић, 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Љубеновић, Бранислав Михајловић, Владимир Маринковић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 Горица Гајић.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вовали заменици чланова Одбора: 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Ст. Јовановић (заменик чл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Одбора Снежане Р. Петровић) и 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Стевановић (заменик члана Одбора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Дејана Николића) 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Новица Тончев, Иван Костић, 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 и Здравко Станковић</w:t>
      </w:r>
      <w:r w:rsidRPr="002158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F50E9F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</w:t>
      </w:r>
      <w:r w:rsidR="00B124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5CCE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Министарс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тва финансија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Мијаиловић државни секретар</w:t>
      </w:r>
      <w:r w:rsidR="00185CCE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Милеса Марјановић начелник </w:t>
      </w:r>
      <w:r w:rsidR="00C7242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Одељења у Сектору буџета, Ана Васовић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Вера Саватовић, виши саветници, Марија Филиповић, самостални саветник и Дејан Ере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>мија, саветник у Сектору буџета; и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з Мини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старства рударства и енергетике: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Предић, државни секретар и Вања Јовановић, секретар 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Министарства;  и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з Министарства тргов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ине, туризма и телекомуникација: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Рената Пинџо, помоћник министра и Сандра Докић</w:t>
      </w:r>
      <w:r w:rsidR="00BE2492">
        <w:rPr>
          <w:rFonts w:ascii="Times New Roman" w:eastAsia="Times New Roman" w:hAnsi="Times New Roman" w:cs="Times New Roman"/>
          <w:sz w:val="24"/>
          <w:szCs w:val="24"/>
          <w:lang w:val="sr-Cyrl-RS"/>
        </w:rPr>
        <w:t>, секретар М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инистарства.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председника, Одбор је већином гласова утврдио следећи</w:t>
      </w:r>
    </w:p>
    <w:p w:rsidR="00E36E10" w:rsidRPr="002158FA" w:rsidRDefault="00E36E10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6E10" w:rsidRPr="002158FA" w:rsidRDefault="00E36E10" w:rsidP="00BE2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158FA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E36E10" w:rsidRPr="002158FA" w:rsidRDefault="00E36E10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6E10" w:rsidRPr="002158FA" w:rsidRDefault="00E36E10" w:rsidP="002158FA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2158FA">
        <w:rPr>
          <w:rFonts w:cs="Times New Roman"/>
          <w:sz w:val="24"/>
          <w:szCs w:val="24"/>
          <w:lang w:val="sr-Cyrl-RS"/>
        </w:rPr>
        <w:t xml:space="preserve">Разматрање Предлога закона о </w:t>
      </w:r>
      <w:r w:rsidR="00681B2C" w:rsidRPr="002158FA">
        <w:rPr>
          <w:rFonts w:cs="Times New Roman"/>
          <w:sz w:val="24"/>
          <w:szCs w:val="24"/>
          <w:lang w:val="sr-Cyrl-RS"/>
        </w:rPr>
        <w:t>буџету Републике Србије за 2018. годину, Раздео 21 – Министарство привреде, Раздео 28 – Министарство рударства и енергетике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и Раздео 32 – Министарство трговине,</w:t>
      </w:r>
      <w:r w:rsidR="00BE2492">
        <w:rPr>
          <w:rFonts w:cs="Times New Roman"/>
          <w:sz w:val="24"/>
          <w:szCs w:val="24"/>
          <w:lang w:val="sr-Cyrl-RS"/>
        </w:rPr>
        <w:t xml:space="preserve"> 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туризма и телекомуникација, који је поднела </w:t>
      </w:r>
      <w:r w:rsidR="00BE2492">
        <w:rPr>
          <w:rFonts w:cs="Times New Roman"/>
          <w:sz w:val="24"/>
          <w:szCs w:val="24"/>
          <w:lang w:val="sr-Cyrl-RS"/>
        </w:rPr>
        <w:t>Влада (број 400-3761/17 од 30. новембра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2017. године).</w:t>
      </w:r>
    </w:p>
    <w:p w:rsidR="00F867F7" w:rsidRPr="002158FA" w:rsidRDefault="00F867F7" w:rsidP="002158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7F7" w:rsidRPr="002158FA" w:rsidRDefault="00BE2492" w:rsidP="002158FA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>Пре разматрања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тачке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утврђеног дневног реда, Одбор је већином гласова усвојио записник 20. седнице Одбора.</w:t>
      </w:r>
    </w:p>
    <w:p w:rsidR="00E36E10" w:rsidRPr="002158FA" w:rsidRDefault="00E36E10" w:rsidP="002158FA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DD24D2" w:rsidRPr="002158FA" w:rsidRDefault="00D07587" w:rsidP="00ED3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Прва тачка д</w:t>
      </w:r>
      <w:r w:rsidR="00DD24D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невног реда </w:t>
      </w:r>
      <w:r w:rsidR="00DD24D2" w:rsidRPr="002158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Предлога закона о буџету Републике Србије за 2018. годину, Раздео 21</w:t>
      </w:r>
      <w:r w:rsidR="008F1F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F1F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привреде, Раздео 28</w:t>
      </w:r>
      <w:r w:rsidR="008F1F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F1F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рударства и енергетике и Раздео 32</w:t>
      </w:r>
      <w:r w:rsidR="00847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47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трговине, туризма и телекомуникација</w:t>
      </w:r>
      <w:r w:rsidR="005C55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477636" w:rsidRPr="002158FA" w:rsidRDefault="00477636" w:rsidP="00215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77636" w:rsidRPr="002158FA" w:rsidRDefault="00477636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F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буџету Републике Србије за 2018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 годину и н</w:t>
      </w:r>
      <w:r w:rsidRPr="002158F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173</w:t>
      </w:r>
      <w:r w:rsidRPr="002158FA">
        <w:rPr>
          <w:rFonts w:ascii="Times New Roman" w:hAnsi="Times New Roman" w:cs="Times New Roman"/>
          <w:sz w:val="24"/>
          <w:szCs w:val="24"/>
        </w:rPr>
        <w:t xml:space="preserve">.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F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86C2C" w:rsidRPr="002158FA" w:rsidRDefault="00477636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195FB2" w:rsidRDefault="00350247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уводним напоменама</w:t>
      </w:r>
      <w:r w:rsidR="00477636" w:rsidRPr="002158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D1651" w:rsidRPr="00350247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ED1651" w:rsidRPr="0035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651" w:rsidRPr="00350247">
        <w:rPr>
          <w:rFonts w:ascii="Times New Roman" w:hAnsi="Times New Roman" w:cs="Times New Roman"/>
          <w:sz w:val="24"/>
          <w:szCs w:val="24"/>
        </w:rPr>
        <w:t>Мијаиловић</w:t>
      </w:r>
      <w:proofErr w:type="spellEnd"/>
      <w:r w:rsidR="00ED16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1651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>држав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>и секретар у М</w:t>
      </w:r>
      <w:r w:rsidR="00B138B7" w:rsidRPr="002158FA">
        <w:rPr>
          <w:rFonts w:ascii="Times New Roman" w:hAnsi="Times New Roman" w:cs="Times New Roman"/>
          <w:sz w:val="24"/>
          <w:szCs w:val="24"/>
          <w:lang w:val="sr-Cyrl-CS"/>
        </w:rPr>
        <w:t>инистарству финансија</w:t>
      </w:r>
      <w:r w:rsidR="00693D91" w:rsidRPr="002158FA">
        <w:rPr>
          <w:rFonts w:ascii="Times New Roman" w:hAnsi="Times New Roman" w:cs="Times New Roman"/>
          <w:sz w:val="24"/>
          <w:szCs w:val="24"/>
        </w:rPr>
        <w:t>,</w:t>
      </w:r>
      <w:r w:rsidRPr="00350247">
        <w:t xml:space="preserve"> 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>подсетио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>Законом о буџету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 2017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>. годину предвиђен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фискални дефицит од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69 милијарди динара</w:t>
      </w:r>
      <w:r w:rsidR="003E4F26" w:rsidRPr="002158FA">
        <w:rPr>
          <w:rFonts w:ascii="Times New Roman" w:hAnsi="Times New Roman" w:cs="Times New Roman"/>
          <w:sz w:val="24"/>
          <w:szCs w:val="24"/>
          <w:lang w:val="sr-Cyrl-RS"/>
        </w:rPr>
        <w:t>, а да је према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>следњим спроведеним извршењима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у буџету 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 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>суфицит од 75 милијарди динара,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премашило сва очекивања.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>Суфицит је резултат боље наплате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укупних при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>хода буџета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за око 100 милијарди 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динара 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>предвиђених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 2017. 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>одину. Више од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половин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>чини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повећење прихода кој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су трајног карактера, 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>као што су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различити облици 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индиректних 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>пореза, пдв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>акциза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>, који су најбољи индикатор јачања опште економске активности у земљи. Др</w:t>
      </w:r>
      <w:r w:rsidR="001F4EA2" w:rsidRPr="002158F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>ги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мањи део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буџетских прихода,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се на једнократне наплате 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>прихода као што су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дивиденде наплаћене од 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ЈП 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>ПС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 Народне банке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Србије.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>Боља наплата прихода од пореза и такси је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делом резултат 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>и финансијске дисцип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лине и активности које </w:t>
      </w:r>
      <w:r w:rsidR="00CC10C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предузима 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>ореска у</w:t>
      </w:r>
      <w:r w:rsidR="00C074AE" w:rsidRPr="002158FA"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У току 2017. године, на страни расхода, 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>најзначајнији је пад расхода за камате</w:t>
      </w:r>
      <w:r w:rsidR="00C074A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>планирани износ. Разлог су мање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потребе за финансирањем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дефицита због 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>боље наплате прихода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и значајно смањење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кам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тних стопа у односу на оно што 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>је планирано када је усвајан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буџет. Од осталих категорија расхода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>слабије извршење је на страни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капитални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>х издатака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>еће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изврш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све што 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>планира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но на страни капиталних улагања, због 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>мањкавости у планирању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>извођењу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постимплементацији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пројеката. Имајући у виду 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>поменута финансијска кретања, у Министарству финансија очекују да 2017.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годи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на буде завршена 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>са суфицитом у буџету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>Истакнуто је и да је усвајање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буџета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за 2018. годину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сета 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>који су на дневном реду текуће седнице Народне скупштине,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испуњен и један 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следњих услова 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неопходних да 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Међународним монетарним фондом (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МФ)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буде 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 званично успешно завршен. 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>Када је усвајан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циљ 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>је б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буџетски 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>дефицит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 2014. г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одини износио 6,6% 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>БДП-а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смањи на 2% </w:t>
      </w:r>
      <w:r w:rsidR="002E3AA2" w:rsidRPr="002158FA">
        <w:rPr>
          <w:rFonts w:ascii="Times New Roman" w:hAnsi="Times New Roman" w:cs="Times New Roman"/>
          <w:sz w:val="24"/>
          <w:szCs w:val="24"/>
          <w:lang w:val="sr-Cyrl-RS"/>
        </w:rPr>
        <w:t>БДП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да 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се дефицит </w:t>
      </w:r>
      <w:r w:rsidR="002E3AA2" w:rsidRPr="002158F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2E3AA2" w:rsidRPr="002158FA">
        <w:rPr>
          <w:rFonts w:ascii="Times New Roman" w:hAnsi="Times New Roman" w:cs="Times New Roman"/>
          <w:sz w:val="24"/>
          <w:szCs w:val="24"/>
          <w:lang w:val="sr-Cyrl-RS"/>
        </w:rPr>
        <w:t>рукту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E3AA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смањи за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4%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ефицит 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за четири године 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>смањен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 целих шест процентн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их поена, а при томе није угрожен раст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БДП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, што је резултат паралелног спровођења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мера фискалне консолидације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ће бити завршена реални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м растом БДП од око 2 %. 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Планиран је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>значајнији раст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БДП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а узрок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>ниже стопе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раста 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>је у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слабијој призводњи угља и електричне енергије у првом кварталу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због 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>изузетно тешких временских услова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пољопривредна 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>производња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која 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је подбацила 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>због суше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Закључио је да је у 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>2017. го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>дини смањен фискални дефицит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>смањено учешће јавног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дуг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>а на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63% БДП- а, 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>нфлација је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>2, 8%. С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>тране дирек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>не инвестиције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расту у односу на претходну годину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>у потпуно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>сти покривају дефицит текућег р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>ачу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>на платног биланса. М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акроекономска ситуација на крају 2017. 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одине 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стабилна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што улива оптимизам за 2018. годину. План за 2018. 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>одину, упркос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добрим 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резултатима у 2017. години, 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>рађе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веома конзервативно, пре свега 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>на приходној страни,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где 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одржа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дугорочно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>планирани ниво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наплате ПДВ и акциза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>ије било аг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>ресивног планирања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боље наплате или зна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ајног смањења 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учешћа 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>сиве ек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>номије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наредној години. 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>ракса коју Министраство финансија спроводи последње четири године</w:t>
      </w:r>
      <w:r w:rsidR="001D1C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је опрезно пројектовање 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прихода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>Истакао је да се сваке године појављују</w:t>
      </w:r>
      <w:r w:rsidR="001D1C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непорески приходи у износу 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>већем од планираног, од наплате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диви</w:t>
      </w:r>
      <w:r w:rsidR="001D1CEA" w:rsidRPr="002158FA">
        <w:rPr>
          <w:rFonts w:ascii="Times New Roman" w:hAnsi="Times New Roman" w:cs="Times New Roman"/>
          <w:sz w:val="24"/>
          <w:szCs w:val="24"/>
          <w:lang w:val="sr-Cyrl-RS"/>
        </w:rPr>
        <w:t>денд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 од 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јавних 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предузећа 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под 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>контролом Републике Србије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али 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ти приходи се опрезно планирају 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у 2018. 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одини. 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Део фискалног простора од 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брог резултата 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>искори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шћен 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>за повећање плата и пензија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>држ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>ано је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учеш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>ће плата у јавном сектору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E2799" w:rsidRPr="002158FA">
        <w:rPr>
          <w:rFonts w:ascii="Times New Roman" w:hAnsi="Times New Roman" w:cs="Times New Roman"/>
          <w:sz w:val="24"/>
          <w:szCs w:val="24"/>
          <w:lang w:val="sr-Cyrl-RS"/>
        </w:rPr>
        <w:t>8,3%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БДП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>рограмом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са ММФ је договорено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 сваке године 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>бар минимално смањење у односу на претходну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годину,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>а као циљ је постављено 8%.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Пензије 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упркос повећању од 25 милијарди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наредној год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ини остати у оквиру договореног циља, уз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благо смањење њиховог учешћа у БДП-у, у односу на учешће у БДП- у у 2017.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години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Најафирмативнији део буџета, који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даје развојну нијансу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јесте значајно повећање капиталних улагања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 3,6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3,7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>већа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давањ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у пољопривреди. О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ва два елемента 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фискални мултипликатори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E06">
        <w:rPr>
          <w:rFonts w:ascii="Times New Roman" w:hAnsi="Times New Roman" w:cs="Times New Roman"/>
          <w:sz w:val="24"/>
          <w:szCs w:val="24"/>
          <w:lang w:val="sr-Cyrl-RS"/>
        </w:rPr>
        <w:t>ефеката које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та потрошња има на БДП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Ако се настави тренд из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>один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95F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није нереално да следећ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годин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>буде завршена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резултатом бољим од 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>планираног.</w:t>
      </w:r>
      <w:r w:rsidR="00195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86C2C" w:rsidRPr="002158FA" w:rsidRDefault="00195FB2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купан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аздео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Министарство привреде у буџету за 2018. годину,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по свим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ставкама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>увећа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>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6,2 милијарде динара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годину. Добар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део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овог износа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>долази из извора 11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, што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су апекс зајмови које даје Европска инвестициона банка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се </w:t>
      </w:r>
      <w:r>
        <w:rPr>
          <w:rFonts w:ascii="Times New Roman" w:hAnsi="Times New Roman" w:cs="Times New Roman"/>
          <w:sz w:val="24"/>
          <w:szCs w:val="24"/>
          <w:lang w:val="sr-Latn-RS"/>
        </w:rPr>
        <w:t>de facto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реализ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ивати у зависности од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сп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ремности комитената да повуку планирана средства. Извор 1, који се тиче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финансирања из општих прихода буџета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на Р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азделу 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незнатно 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>умањен за једну милијарду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Односи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на кредитну подршку која је прошле године била намењена 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 xml:space="preserve"> за Рударско-топионичарски басен Бор -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„РТБ Бор“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ушао у поступак реструктурирања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аостале обавезе према 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>Електропривреди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су репрограмом изм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ире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не,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>сада се измирују редовно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 па н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>ије било потребно планирати тај износ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ове године, 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јер је цена бакра 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значајно боља у 2017. 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одини него што је била 2016. 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 xml:space="preserve">одине.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>РТБ Бор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годину завршити као предузеће које ће 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>остварити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60 милиона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 долара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пословне 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>добити.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>Што се тиче субвенција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које су највећа категорија у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требало би да остану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>истом нивоу као претходне године. Генерално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субвенције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републичког буџета су остале исте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осим пољопривред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 где је повећан износ </w:t>
      </w:r>
      <w:r w:rsidR="00D84F6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пољопривредницима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за куповину 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>механизације</w:t>
      </w:r>
      <w:r w:rsidR="00D84F62" w:rsidRPr="002158FA">
        <w:rPr>
          <w:rFonts w:ascii="Times New Roman" w:hAnsi="Times New Roman" w:cs="Times New Roman"/>
          <w:sz w:val="24"/>
          <w:szCs w:val="24"/>
          <w:lang w:val="sr-Cyrl-RS"/>
        </w:rPr>
        <w:t>. Д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ео субвенција који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је везан за Развојну агенцију Србије,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остао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 непромењеном нивоу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>11 милијарди и 900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ED0BEA" w:rsidRPr="003A4289" w:rsidRDefault="00D84F62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0C6D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>Предић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, државни секретар у Министарству рударства и енергетике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>три кључн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а детаља везана за Раздео овог м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0C6D18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614F"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>редносно гледано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укупном нивоу средстава, око 5 милијарди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динара 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>је планир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ано за консолидацију пословања Ј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авног предузећа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>Ресавица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Највећи део тих средства је предвиђен за плате,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један део је предвиђен и за инвестиционе активности.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За у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>прављањ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обавезним резервама нафте и нафтних деривата је предвиђено 4,3 милијарде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динара у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 Тр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ећа највећа  ставка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тиче се сегмента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социјалне заштите. За спровођење Уредбе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 енергетски за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еном купцу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планирано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>милијарду и 50 милиона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 наредну годину. Ове три ставке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чине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преко 90% укупно планираних средстава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буџету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3A4289" w:rsidRPr="003A4289">
        <w:rPr>
          <w:rFonts w:ascii="Times New Roman" w:hAnsi="Times New Roman" w:cs="Times New Roman"/>
          <w:sz w:val="24"/>
          <w:szCs w:val="24"/>
          <w:lang w:val="sr-Cyrl-RS"/>
        </w:rPr>
        <w:t>Раздео 28 - Министарство рударства и енергетике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40EF" w:rsidRPr="002158FA" w:rsidRDefault="00D84F62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>Сандра Докић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 Министарства тргови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не, туризма и 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телекомуникација,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изнела је да је 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Раздео м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односу на прошлу годину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>већи за 738 милиона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Већи део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ових средстава која представља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разлику у односу на прошлу годину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распоређен је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 сектор туриз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ма и на сектор телекомуникација, у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планом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и стратегијама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Владе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диг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итализацију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Србије.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ресора трговине,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у значајној мери повећена како би се 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унапредио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рад 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тржишне инспекције. 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Остали сектори имају извесна повећања, али не у 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значајној мери, да би могли несметано да 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функционишу и спроводе усвојене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стратегије и политике.</w:t>
      </w:r>
    </w:p>
    <w:p w:rsidR="00AD1F60" w:rsidRDefault="00BA38CC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Рената Пинџо,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помоћник министра у Министарству трговине, туризма и телекомуникација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је да је Влада РС препознал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а значај и дала даљу подршку ра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звоју туризма, што је оправдано имајући у виду досадашње резултате који су постигнути у области туризма</w:t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>. Србија постаје озбиљна туристичка дестинација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ст 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броја 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>долазака је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13%, 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броја 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>стр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>наца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око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18,5 %, 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броја 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>ноћења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око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10 %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раст девизног прилива</w:t>
      </w:r>
      <w:r w:rsidR="00165CB6">
        <w:rPr>
          <w:rFonts w:ascii="Times New Roman" w:hAnsi="Times New Roman" w:cs="Times New Roman"/>
          <w:sz w:val="24"/>
          <w:szCs w:val="24"/>
          <w:lang w:val="sr-Cyrl-RS"/>
        </w:rPr>
        <w:t xml:space="preserve"> од туризма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 првих 9 месе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>и је 14%</w:t>
      </w:r>
      <w:r w:rsidR="00EC4DF1" w:rsidRPr="002158FA">
        <w:rPr>
          <w:rFonts w:ascii="Times New Roman" w:hAnsi="Times New Roman" w:cs="Times New Roman"/>
          <w:sz w:val="24"/>
          <w:szCs w:val="24"/>
        </w:rPr>
        <w:t xml:space="preserve">. 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Очекује се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ће приликом сумирања резултата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из 2017. </w:t>
      </w:r>
      <w:r w:rsidR="00524B72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одине бити остварено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жељених 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долазака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осам мил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иона ноћења и да ће деви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>зни прилив од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туризма бити на ниво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од око 1,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>2 милијарде евра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Буџет за 2018. г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одину 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већ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постојећ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показали као добри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 тим што су неки о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д њих подржани са већим износом, као што су пројекти подршке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 изградњу туристичке инфраструктуре </w:t>
      </w:r>
      <w:r w:rsidR="006E3BE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 супраструктуре 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>у тиристичким</w:t>
      </w:r>
      <w:r w:rsidR="00524B7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>дестинацијама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. По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>већан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кредитна подршка малим и средњим предузећима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 предузетницима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што је 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једини програм када је реч о приватном сектору. 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>рој свих угоститељских категорија, а п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>себно хотела</w:t>
      </w:r>
      <w:r w:rsidR="00165C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објеката за смештај 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>у експанз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>ји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како у Београду тако и широм Србије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. З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>ахтев за тим ср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ед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>ствима је све већи и превазишао ј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 досадашње могућности. Министарство ће 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>наставити субвенционисање годишњег одмора у Републиц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и Србији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популарни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ваучерим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а. П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>редвиђено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>80 хиљада ваучера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а због прошлогодишњег искуства, када је тај број нарастао на 100 хиљада због великог интересовања, очекује се да ће и у 2018. години бити потребно више ваучера. 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>оново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враћени, али модификовани програми са туристичким агенцијама за довођење орган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изованих група страних туриста. 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Наставља се 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>веома успешна промотивна кампања Туристчке организације Србије која је у многим се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гментима реализованакроз јавно-приватно партнерство и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стога је повећање од 50 милиона динара у односу на претх</w:t>
      </w:r>
      <w:r w:rsidR="00165CB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дну годину значајно. 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Укупно гледано, о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>во је развојни буџет када је реч о туризму.</w:t>
      </w:r>
    </w:p>
    <w:p w:rsidR="00165CB6" w:rsidRDefault="00165CB6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5CB6" w:rsidRDefault="00165CB6" w:rsidP="00165CB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891225" w:rsidRDefault="00891225" w:rsidP="00165CB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0B8" w:rsidRDefault="00165CB6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 ли је 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>реално</w:t>
      </w:r>
      <w:r w:rsidR="008B73CD"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предвиђање да ће пословање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„РТБ Бор“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бити позитивно са 60 милиона долара добити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 да због тога 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>изостај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 кредитна подршка за 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>„РТБ Бор“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у буџету за 2018. годину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2D21" w:rsidRDefault="00B02D21" w:rsidP="00B02D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и даље воде преговори са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Кзахстан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ом, Русијом или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Кин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потенцијалним стратешким партнерима</w:t>
      </w:r>
      <w:r w:rsidR="003E6FF3">
        <w:rPr>
          <w:rFonts w:ascii="Times New Roman" w:hAnsi="Times New Roman" w:cs="Times New Roman"/>
          <w:sz w:val="24"/>
          <w:szCs w:val="24"/>
          <w:lang w:val="sr-Cyrl-RS"/>
        </w:rPr>
        <w:t xml:space="preserve"> за „РТБ Бор“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00B8" w:rsidRDefault="002D00B8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 ли се 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>планира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оштрија контрола трошења средстава 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санацију кол</w:t>
      </w:r>
      <w:r>
        <w:rPr>
          <w:rFonts w:ascii="Times New Roman" w:hAnsi="Times New Roman" w:cs="Times New Roman"/>
          <w:sz w:val="24"/>
          <w:szCs w:val="24"/>
          <w:lang w:val="sr-Cyrl-RS"/>
        </w:rPr>
        <w:t>ек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>тора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и тунела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Кривељске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реке, с обзиром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ради о буџетским средствима; 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65EB" w:rsidRPr="002158FA" w:rsidRDefault="001465EB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-када ће се реализовати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пилот пројекат са Светском банком који се спроводи у вези умањења пореза и доприноса на зараде и какве су 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 xml:space="preserve">краткорочне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пројекције 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>смањења пореза и доприноса;</w:t>
      </w:r>
    </w:p>
    <w:p w:rsidR="00F81C5C" w:rsidRPr="002158FA" w:rsidRDefault="008E4C95" w:rsidP="00F81C5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ли су буџетом за 2018. годину предвиђена средства за исплату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>фид</w:t>
      </w:r>
      <w:r w:rsidR="00F81C5C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>ин тарифа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за све произвођаче електричне енергије из обновљивих извора којима су издате енергетске дозволе 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>ће средства бити планирана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тек након изградње ових објеката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4C95" w:rsidRDefault="003E6FF3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-да ли су планирана средства за инвестиције, имајући у виду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међународне обавезе по питању обновљивих извора енергије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8E4C95" w:rsidRPr="002158FA">
        <w:rPr>
          <w:rFonts w:ascii="Times New Roman" w:hAnsi="Times New Roman" w:cs="Times New Roman"/>
          <w:sz w:val="24"/>
          <w:szCs w:val="24"/>
          <w:lang w:val="sr-Cyrl-RS"/>
        </w:rPr>
        <w:t>наредне три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E4C9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1225" w:rsidRPr="002158FA" w:rsidRDefault="00891225" w:rsidP="0089122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-да ли су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>ом за 2018. годину предвиђена средства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помоћ за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треће дете</w:t>
      </w:r>
      <w:r>
        <w:rPr>
          <w:rFonts w:ascii="Times New Roman" w:hAnsi="Times New Roman" w:cs="Times New Roman"/>
          <w:sz w:val="24"/>
          <w:szCs w:val="24"/>
          <w:lang w:val="sr-Cyrl-RS"/>
        </w:rPr>
        <w:t>, до пунолетства.</w:t>
      </w:r>
    </w:p>
    <w:p w:rsidR="00891225" w:rsidRPr="002158FA" w:rsidRDefault="00891225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3ED" w:rsidRDefault="0043781D" w:rsidP="002D00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Изнето је мишљење да би процена да ће „РТБ Бор“ у 2017. годин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и остварити добит од 60 милиона долара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подразумевала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>да ће добит по тони бакр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>а бити преко 1500 долара, за произведених око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>35 хиљада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тона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ко је 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просечна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продајна цена 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>бакра у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години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6200-6300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евра по тони, то би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значи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производна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цена коштања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између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4700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4800 долара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по 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тони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за 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„РТБ Бор“ нереално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Цена коштања производње бакра тренутно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„РТБ Бор“ 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знатно изнад ни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>воа од 7000 долара по тони. У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случају да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цена бакра 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на међународном тржишту премаши тај износ,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може се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рачунати на добит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У прошлости је било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ситуација ка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>да је цена достизала и више од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8 или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9 хиљада долара по тони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„РТБ Бор“  је бележио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губитак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пословању 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од око 70-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80 ми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иона долара. У последње три године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2014, 20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15 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. године,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према званичним извештајима који су 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послати Агенцији за привредне регистре,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„РТБ Бор“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је у гу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бицима из текућег пословања од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преко 330 милиона долара. 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Процењена добит од 60 милиона долара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је изузетно афирмативна и било би добро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да је толика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јер се 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слаже са 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Унапред припремљеним планом реорганизације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на снази у </w:t>
      </w:r>
      <w:r>
        <w:rPr>
          <w:rFonts w:ascii="Times New Roman" w:hAnsi="Times New Roman" w:cs="Times New Roman"/>
          <w:sz w:val="24"/>
          <w:szCs w:val="24"/>
          <w:lang w:val="sr-Cyrl-RS"/>
        </w:rPr>
        <w:t>„РТБ Бор“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наредних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пет година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Изражена је нада да „РТБ Бор“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може самостално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да послује и покрива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све обавезе које проистичу из текућег пословања. С тим у вези,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у Р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азделу 16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финансија,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предвиђено је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28 милиона долара који треба да се исплате из буџета Републике Србије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ануитете за кредит ЕДЦ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банке.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Изнето је мишљење да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контардикторно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да је, с једне ст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пословна добит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60 милиона долара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 друге стране 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држава треба да плати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обавезе које 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>је „РТБ Бор“ по УППР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дуж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>но да плати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3781D" w:rsidRDefault="00D513ED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азделу 28</w:t>
      </w:r>
      <w:r w:rsidR="00A354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лава 28</w:t>
      </w:r>
      <w:r w:rsidR="00A354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47C">
        <w:rPr>
          <w:rFonts w:ascii="Times New Roman" w:hAnsi="Times New Roman" w:cs="Times New Roman"/>
          <w:sz w:val="24"/>
          <w:szCs w:val="24"/>
          <w:lang w:val="sr-Cyrl-RS"/>
        </w:rPr>
        <w:t>Функција 440, П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рограм 05</w:t>
      </w:r>
      <w:r w:rsidR="00A3547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рограмска активност пројекат 5001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изградња новог тунела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/колектора Криве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љске реке, економска класификација 511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зграде и грађевински објекти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предвиђена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ставка од 500 милиона динара за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годину.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С тим у вези, изнето је мишљење да к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олектор  Крив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љске реке представља еколошки проблем од прворазредног значаја,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што пре да се решава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. Средином прошле деценије постојао је програм Владе Репуб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ике Србије и Светске банке по коме је за санацију еколошких штета насталих стогодишњим рударењем у Бору био предвиђен кредит од 42 милиона долара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чега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је 12  милиона долара било наме</w:t>
      </w:r>
      <w:r>
        <w:rPr>
          <w:rFonts w:ascii="Times New Roman" w:hAnsi="Times New Roman" w:cs="Times New Roman"/>
          <w:sz w:val="24"/>
          <w:szCs w:val="24"/>
          <w:lang w:val="sr-Cyrl-RS"/>
        </w:rPr>
        <w:t>њено за санацију овог колектора. П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рограм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трајао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некол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ико година, био је 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расписан тендер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израду тог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колектора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али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није реализован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. Ј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едан део средстава је потрошен</w:t>
      </w:r>
      <w:r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други де</w:t>
      </w:r>
      <w:r>
        <w:rPr>
          <w:rFonts w:ascii="Times New Roman" w:hAnsi="Times New Roman" w:cs="Times New Roman"/>
          <w:sz w:val="24"/>
          <w:szCs w:val="24"/>
          <w:lang w:val="sr-Cyrl-RS"/>
        </w:rPr>
        <w:t>о средстава је повучен и сада је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буџ</w:t>
      </w:r>
      <w:r>
        <w:rPr>
          <w:rFonts w:ascii="Times New Roman" w:hAnsi="Times New Roman" w:cs="Times New Roman"/>
          <w:sz w:val="24"/>
          <w:szCs w:val="24"/>
          <w:lang w:val="sr-Cyrl-RS"/>
        </w:rPr>
        <w:t>ету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2018. годину предвиђен износ од 500 милиона дина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ра. З</w:t>
      </w:r>
      <w:r>
        <w:rPr>
          <w:rFonts w:ascii="Times New Roman" w:hAnsi="Times New Roman" w:cs="Times New Roman"/>
          <w:sz w:val="24"/>
          <w:szCs w:val="24"/>
          <w:lang w:val="sr-Cyrl-RS"/>
        </w:rPr>
        <w:t>а сана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цију колектора до сада је уложено много материјалних средстава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без анализе како су утрошена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>, што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изазива сумњу да се средства не троше транспарентно. </w:t>
      </w:r>
    </w:p>
    <w:p w:rsidR="006129CB" w:rsidRDefault="006129CB" w:rsidP="006129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Истакнуто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„РТБ Бор“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обезбеђује значајне девизне  приливе и злато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 је намењено резервама и Народној банци Србије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, учествује у БДП Србије са око 0,8 %, запослено је 5000 радника, обезбеђује 235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000 тона концентрата бакра из кога се производи 42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900 тона из сопствене рударске производње.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мишљење да је за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развијање пословања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„РТБ Бор“ потребан стратешки партнер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изнета 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захвалност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Влади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 подршци 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„РТБ Бор“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29CB" w:rsidRPr="002158FA" w:rsidRDefault="006129CB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1D6" w:rsidRPr="002158FA" w:rsidRDefault="008E4C95" w:rsidP="00CA51D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  <w:t>У одговору на постављена питања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изнето је 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у погледу поменуте добити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„РТБ Бор“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ради о пословном резултату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>, а не о нето резултату. Т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>разлика између текућих прихода и расхода, без обрачуна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камата, амортизације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>исправки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>, која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казује да 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„РТБ Бор“ 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>ове годин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>исплаћује све своје обавезе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из текућег пословања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акон покрића 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>тих обавеза из остварених прихода,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очекивања су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>ће бити остварен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од 60 милиона долара. У вези </w:t>
      </w:r>
      <w:r w:rsidR="00C03F2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28 милиона долара 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>предвиђених</w:t>
      </w:r>
      <w:r w:rsidR="00C03F2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исплату ануитета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за кредит ЕДЦ</w:t>
      </w:r>
      <w:r w:rsidR="00C03F2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банке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да је 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>ова обавеза је п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>ланиран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>имајући у виду да је издата државна гаранција. Међутим, уколико „РТБ Бор“</w:t>
      </w:r>
      <w:r w:rsidR="000F3D8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буде у 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>могућности,  измириће и ту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обавез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као и ове године.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Што се 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тиче </w:t>
      </w:r>
      <w:r w:rsidR="000F3D8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пројекта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умањења п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ореза и 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доприноса на зараде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део </w:t>
      </w:r>
      <w:r w:rsidR="00F91B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фискалног 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>простора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који је остварен биће искор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шћен за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повећање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давања кроз плате и пензије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део 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капиталне инвестиције</w:t>
      </w:r>
      <w:r w:rsidR="00F30A1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део 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пов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ећање субвенција у пољопривреди. Ј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едан мали део 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ће бити искори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шћен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 приходну страну, јер када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постоји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одређени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фискални простор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увек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постоји алтернатива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повећава трошење или да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смањ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наплат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прихода да се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растере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ти привреда. И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нтервенција преко приходне стране 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дисперзована и утиче на највећи број људи.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Што се тог пројекта тиче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када се одлучивал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шта би било најбоље да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уради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извршена је анализа конкурентности Србије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окружење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у погледу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пореско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>г оптерећења према коме је Србија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релативно посматрано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мање конкурентна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окружење. Закључено је да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то нису 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ни ПДВ, ни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индиректни порези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ни акцизе,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ни директни порези на капитал, па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анализ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усмер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ена на по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реско оптерећење рада,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на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порезе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и доприносе који се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плаћају приликом исплате зарада. Имајући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виду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 наведене анализе, оцењено је да је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0A1E">
        <w:rPr>
          <w:rFonts w:ascii="Times New Roman" w:hAnsi="Times New Roman" w:cs="Times New Roman"/>
          <w:sz w:val="24"/>
          <w:szCs w:val="24"/>
          <w:lang w:val="sr-Cyrl-RS"/>
        </w:rPr>
        <w:t>целисходно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пореско оптерећење </w:t>
      </w:r>
      <w:r w:rsidR="00F30A1E">
        <w:rPr>
          <w:rFonts w:ascii="Times New Roman" w:hAnsi="Times New Roman" w:cs="Times New Roman"/>
          <w:sz w:val="24"/>
          <w:szCs w:val="24"/>
          <w:lang w:val="sr-Cyrl-RS"/>
        </w:rPr>
        <w:t xml:space="preserve">зарада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делимично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буде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умањ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наредне године. Т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ура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ђено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је повећан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цензус неопорезивог износа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зарада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п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>лаћања пореза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и доприноса на зараде, 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>садашњи цензус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>износ зараде</w:t>
      </w:r>
      <w:r w:rsidR="008E103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>се не опорезује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је 11 79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>. Предлогом закона о изменама и допунама Закона о порезу на доходак грађана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цензус се повећава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на 15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динара, што значи да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пореско оптерећење пада код свих плата, али сразмерно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више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пада код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нижих плата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пореско оптерећење 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>мањих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зарада ће бити </w:t>
      </w:r>
      <w:r w:rsidR="00274FD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процентуално посматрано 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>више релаксирано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 мотивисати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послодавце на веће запошљавање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>, охрабрити домаће и стране инвеститоре да више инвестирају и повећати конкурентност наш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окружење.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нивоу Владе постоји Р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адна група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за „РТБ Бор“</w:t>
      </w:r>
      <w:r w:rsidR="00B54BE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која интензивно трага за решењем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раст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це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не бакра дове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је до интересовања инвеститора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>. У топионицу је уложено</w:t>
      </w:r>
      <w:r w:rsidR="00B54BE7" w:rsidRP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много новца, 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достигнут 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задовољавајући 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технолошки ниво, 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>изазов је побољшати производњу руде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 бакра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>ско грло је на страни рударства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 инвестиције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би биле усмерене у том правцу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>. Планирање средстава за пораст учешћа о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>бновљив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>их извора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енергије 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>је у складу са С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тратегијом развоја 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>енергетик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>до 2025. године, са пројекцијама развоја до 2030. године и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са програмом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остваривања С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тратегије. 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Регулаторни услови,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везано за инвестиције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, биће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нешто повољнији у наредном периоду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. У Министарству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рударства и енергетике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>ради се на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>кона о ефикасном коришћењу енергије. Што се фид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>ин тарифе тиче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износ средства планиран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>буџету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за 2018. годину за ове намене је 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>адекватан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>Издвајање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треће дете 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>је питање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>ресорног министарства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1A9C" w:rsidRPr="002158FA" w:rsidRDefault="009C7834" w:rsidP="001B0B2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ab/>
        <w:t>Оцењено је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0F75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резулати 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>спровођења Закона буџету</w:t>
      </w:r>
      <w:r w:rsidR="000F75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за 2017.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5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годину 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>изванредн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>виду остварени суфицит од 75 милијар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У расправама вођеним 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>на седници Одбора и на седници Народне скупштине п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рошле године 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>истакнуто је да је буџет за 2017. годину један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од најбоље креираних буџета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>. Показало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се да може да се оствари и бољи 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>резултат од планираног, да је план био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ам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>ициоз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>и реалан, да је контрола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>ошења новца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била ефикасна и одговорна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На мањи раст од планираног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сектору пољопривреде и енергетике је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утицала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виша сила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>, али са улагањима која су предвиђана у 2018. г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очекује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даљи напредак 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у овим секторима.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Већа издвајања за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сектор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туризма 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и привреде 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ради подстицаја активности и конкурентности на тржишту 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оправдана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>унапредиће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пословну климу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погледу 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пословања 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јавних предузећа и 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исплате 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>дивиденди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да 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>има простора за унапређење контроле трошкова и раст прохода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ако 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је било година када ј</w:t>
      </w:r>
      <w:r w:rsidR="00D05931">
        <w:rPr>
          <w:rFonts w:ascii="Times New Roman" w:hAnsi="Times New Roman" w:cs="Times New Roman"/>
          <w:sz w:val="24"/>
          <w:szCs w:val="24"/>
        </w:rPr>
        <w:t>e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1908" w:rsidRPr="002158FA">
        <w:rPr>
          <w:rFonts w:ascii="Times New Roman" w:hAnsi="Times New Roman" w:cs="Times New Roman"/>
          <w:sz w:val="24"/>
          <w:szCs w:val="24"/>
          <w:lang w:val="sr-Cyrl-RS"/>
        </w:rPr>
        <w:t>тренд</w:t>
      </w:r>
      <w:r w:rsidR="00EE190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>био негативан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>, изнето је очекивање бољих резулатата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у 2018. 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одини. 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з 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поштовање 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>начела опрезног планирања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>задатак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>Владе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РС је 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>и реализација плана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1A9C" w:rsidRPr="002158FA" w:rsidRDefault="00EE5755" w:rsidP="00EE575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Б. Петровић, 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>Бранислав Михајловић, Владимир Маринковић, Драгоми</w:t>
      </w:r>
      <w:r>
        <w:rPr>
          <w:rFonts w:ascii="Times New Roman" w:hAnsi="Times New Roman" w:cs="Times New Roman"/>
          <w:sz w:val="24"/>
          <w:szCs w:val="24"/>
          <w:lang w:val="sr-Cyrl-RS"/>
        </w:rPr>
        <w:t>р Карић, Александра Томић и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Студенка Ковачевић,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>Ненад Мијаиловић, Зоран Предић, Сандра Докић</w:t>
      </w:r>
      <w:r w:rsidR="002158F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Рената Пинџо.</w:t>
      </w:r>
    </w:p>
    <w:p w:rsidR="002158FA" w:rsidRPr="002158FA" w:rsidRDefault="002158FA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8FA" w:rsidRPr="002158FA" w:rsidRDefault="002158FA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173. став 2. Пословника Народне скупштине, одлучио 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да предложи Одбору за финансије, републички буџет и контролу трошења јавних средстава да прихвати Предлог закона о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буџету Републике Србије за 2018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 годину, Раздео 21– Министарство привреде, Раздео 28 – Министарство рударства и енергетике и Раздео 32 – Министарство трговине, туризма и телекомуникација.</w:t>
      </w:r>
    </w:p>
    <w:p w:rsidR="00CA51D6" w:rsidRDefault="002158FA" w:rsidP="00CA5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Одбора за финансије, републички буџет и контролу трошења јавних средстава одређена је Снежана Б. Петровић, председник Одбора.</w:t>
      </w:r>
    </w:p>
    <w:p w:rsidR="00CA51D6" w:rsidRDefault="00CA51D6" w:rsidP="00CA5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978" w:rsidRDefault="00CA51D6" w:rsidP="00CA5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невног реда </w:t>
      </w:r>
      <w:r w:rsidRPr="002158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Разно.</w:t>
      </w:r>
    </w:p>
    <w:p w:rsidR="00CA51D6" w:rsidRDefault="00CA51D6" w:rsidP="00CA5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1401B" w:rsidRDefault="001B0B2C" w:rsidP="001B0B2C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Драгомир 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>Карић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>, члан Одбора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известио је о посети НР Кини и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>информисао о иницијативи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1401B" w:rsidRPr="00D1401B">
        <w:rPr>
          <w:rFonts w:ascii="Times New Roman" w:hAnsi="Times New Roman" w:cs="Times New Roman"/>
          <w:sz w:val="24"/>
          <w:szCs w:val="24"/>
        </w:rPr>
        <w:t>Свекинеског</w:t>
      </w:r>
      <w:proofErr w:type="spellEnd"/>
      <w:r w:rsidR="00D1401B" w:rsidRPr="00D1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01B" w:rsidRPr="00D1401B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="00D1401B" w:rsidRPr="00D1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01B" w:rsidRPr="00D1401B">
        <w:rPr>
          <w:rFonts w:ascii="Times New Roman" w:hAnsi="Times New Roman" w:cs="Times New Roman"/>
          <w:sz w:val="24"/>
          <w:szCs w:val="24"/>
        </w:rPr>
        <w:t>конгреса</w:t>
      </w:r>
      <w:proofErr w:type="spellEnd"/>
      <w:r w:rsidR="00212F97">
        <w:rPr>
          <w:rFonts w:ascii="Times New Roman" w:hAnsi="Times New Roman" w:cs="Times New Roman"/>
          <w:sz w:val="24"/>
          <w:szCs w:val="24"/>
          <w:lang w:val="sr-Cyrl-RS"/>
        </w:rPr>
        <w:t>, чланова Групе пријатељс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>тва са Србијом,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да Одбор за привр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>еду регионални развој, трговину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, туризам и енергетику 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>образује делегацију која би посетила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2F97" w:rsidRPr="00D1401B">
        <w:rPr>
          <w:rFonts w:ascii="Times New Roman" w:hAnsi="Times New Roman" w:cs="Times New Roman"/>
          <w:sz w:val="24"/>
          <w:szCs w:val="24"/>
        </w:rPr>
        <w:t>Свекинеског</w:t>
      </w:r>
      <w:proofErr w:type="spellEnd"/>
      <w:r w:rsidR="00212F97" w:rsidRPr="00D1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F97" w:rsidRPr="00D1401B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="00212F97" w:rsidRPr="00D1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F97" w:rsidRPr="00D1401B">
        <w:rPr>
          <w:rFonts w:ascii="Times New Roman" w:hAnsi="Times New Roman" w:cs="Times New Roman"/>
          <w:sz w:val="24"/>
          <w:szCs w:val="24"/>
        </w:rPr>
        <w:t>конгреса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Републике Кине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>Оцењено је да би посета била обострано корисна.</w:t>
      </w: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закључена у 13</w:t>
      </w:r>
      <w:r w:rsidR="00025967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</w:t>
      </w: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 w:rsidR="00594C2A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>-у</w:t>
      </w:r>
      <w:r w:rsidR="00025967">
        <w:rPr>
          <w:rFonts w:ascii="Times New Roman" w:hAnsi="Times New Roman" w:cs="Times New Roman"/>
          <w:sz w:val="24"/>
          <w:szCs w:val="24"/>
          <w:lang w:val="sr-Cyrl-RS"/>
        </w:rPr>
        <w:t xml:space="preserve"> и тонски снимана,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F97">
        <w:rPr>
          <w:rFonts w:ascii="Times New Roman" w:hAnsi="Times New Roman" w:cs="Times New Roman"/>
          <w:sz w:val="24"/>
          <w:szCs w:val="24"/>
          <w:lang w:val="sr-Cyrl-RS"/>
        </w:rPr>
        <w:t>а видео запис се налази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978" w:rsidRPr="002158FA" w:rsidRDefault="00F30A1E" w:rsidP="00F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978" w:rsidRPr="002158FA" w:rsidRDefault="00594C2A" w:rsidP="0059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Снежана Б. Петровић</w:t>
      </w:r>
    </w:p>
    <w:p w:rsidR="00157081" w:rsidRPr="002158FA" w:rsidRDefault="00157081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C5F" w:rsidRPr="002158FA" w:rsidRDefault="00BB0C5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B0C5F" w:rsidRPr="002158FA" w:rsidSect="00BE2492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5" w:rsidRDefault="007A51E5" w:rsidP="002158FA">
      <w:pPr>
        <w:spacing w:after="0" w:line="240" w:lineRule="auto"/>
      </w:pPr>
      <w:r>
        <w:separator/>
      </w:r>
    </w:p>
  </w:endnote>
  <w:endnote w:type="continuationSeparator" w:id="0">
    <w:p w:rsidR="007A51E5" w:rsidRDefault="007A51E5" w:rsidP="0021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5" w:rsidRDefault="007A51E5" w:rsidP="002158FA">
      <w:pPr>
        <w:spacing w:after="0" w:line="240" w:lineRule="auto"/>
      </w:pPr>
      <w:r>
        <w:separator/>
      </w:r>
    </w:p>
  </w:footnote>
  <w:footnote w:type="continuationSeparator" w:id="0">
    <w:p w:rsidR="007A51E5" w:rsidRDefault="007A51E5" w:rsidP="0021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7002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1D6" w:rsidRDefault="00CA51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0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A51D6" w:rsidRDefault="00CA5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F"/>
    <w:rsid w:val="00025967"/>
    <w:rsid w:val="00030619"/>
    <w:rsid w:val="000331C4"/>
    <w:rsid w:val="0004271C"/>
    <w:rsid w:val="0005747C"/>
    <w:rsid w:val="000810F7"/>
    <w:rsid w:val="000B293A"/>
    <w:rsid w:val="000C6D18"/>
    <w:rsid w:val="000E1758"/>
    <w:rsid w:val="000F3D87"/>
    <w:rsid w:val="000F751B"/>
    <w:rsid w:val="0010691B"/>
    <w:rsid w:val="001465EB"/>
    <w:rsid w:val="00157081"/>
    <w:rsid w:val="00165CB6"/>
    <w:rsid w:val="00180D32"/>
    <w:rsid w:val="00185CCE"/>
    <w:rsid w:val="00195F94"/>
    <w:rsid w:val="00195FB2"/>
    <w:rsid w:val="001A256D"/>
    <w:rsid w:val="001B0B2C"/>
    <w:rsid w:val="001C1FC4"/>
    <w:rsid w:val="001C343D"/>
    <w:rsid w:val="001D0A8F"/>
    <w:rsid w:val="001D1CEA"/>
    <w:rsid w:val="001E0266"/>
    <w:rsid w:val="001E2A9E"/>
    <w:rsid w:val="001F4EA2"/>
    <w:rsid w:val="00212F97"/>
    <w:rsid w:val="00213573"/>
    <w:rsid w:val="002158FA"/>
    <w:rsid w:val="00221A43"/>
    <w:rsid w:val="00273DB6"/>
    <w:rsid w:val="00274FD4"/>
    <w:rsid w:val="00276973"/>
    <w:rsid w:val="0027772C"/>
    <w:rsid w:val="00295E84"/>
    <w:rsid w:val="002A40EF"/>
    <w:rsid w:val="002D00B8"/>
    <w:rsid w:val="002D4BA5"/>
    <w:rsid w:val="002E3AA2"/>
    <w:rsid w:val="002F3BD6"/>
    <w:rsid w:val="00325EE5"/>
    <w:rsid w:val="00350247"/>
    <w:rsid w:val="003A188F"/>
    <w:rsid w:val="003A4289"/>
    <w:rsid w:val="003B21D6"/>
    <w:rsid w:val="003D00B0"/>
    <w:rsid w:val="003E200E"/>
    <w:rsid w:val="003E4F26"/>
    <w:rsid w:val="003E5B24"/>
    <w:rsid w:val="003E6FF3"/>
    <w:rsid w:val="003F5279"/>
    <w:rsid w:val="003F7C8E"/>
    <w:rsid w:val="004232A9"/>
    <w:rsid w:val="004322BB"/>
    <w:rsid w:val="00433E7F"/>
    <w:rsid w:val="0043781D"/>
    <w:rsid w:val="00443238"/>
    <w:rsid w:val="00447D44"/>
    <w:rsid w:val="00471A81"/>
    <w:rsid w:val="00477636"/>
    <w:rsid w:val="00491C51"/>
    <w:rsid w:val="004C3112"/>
    <w:rsid w:val="004E56AD"/>
    <w:rsid w:val="00524B72"/>
    <w:rsid w:val="00562951"/>
    <w:rsid w:val="00594C2A"/>
    <w:rsid w:val="005C55D2"/>
    <w:rsid w:val="005D1093"/>
    <w:rsid w:val="005E2A18"/>
    <w:rsid w:val="00601C02"/>
    <w:rsid w:val="006129CB"/>
    <w:rsid w:val="00617C82"/>
    <w:rsid w:val="00653EE6"/>
    <w:rsid w:val="0066111E"/>
    <w:rsid w:val="00681A9C"/>
    <w:rsid w:val="00681B2C"/>
    <w:rsid w:val="00693D91"/>
    <w:rsid w:val="006A0ED2"/>
    <w:rsid w:val="006E3BE8"/>
    <w:rsid w:val="00711145"/>
    <w:rsid w:val="0071512C"/>
    <w:rsid w:val="0071735C"/>
    <w:rsid w:val="007418CE"/>
    <w:rsid w:val="00762F42"/>
    <w:rsid w:val="007935EC"/>
    <w:rsid w:val="00796DBE"/>
    <w:rsid w:val="007A51E5"/>
    <w:rsid w:val="007D7929"/>
    <w:rsid w:val="007F644C"/>
    <w:rsid w:val="00846579"/>
    <w:rsid w:val="008476B4"/>
    <w:rsid w:val="00852187"/>
    <w:rsid w:val="008556C9"/>
    <w:rsid w:val="00884D07"/>
    <w:rsid w:val="00891225"/>
    <w:rsid w:val="008A2545"/>
    <w:rsid w:val="008B73CD"/>
    <w:rsid w:val="008C3CCE"/>
    <w:rsid w:val="008E103F"/>
    <w:rsid w:val="008E2799"/>
    <w:rsid w:val="008E4C95"/>
    <w:rsid w:val="008F1F7E"/>
    <w:rsid w:val="008F48A3"/>
    <w:rsid w:val="00905D64"/>
    <w:rsid w:val="00917787"/>
    <w:rsid w:val="00921015"/>
    <w:rsid w:val="00923978"/>
    <w:rsid w:val="00952EA0"/>
    <w:rsid w:val="0098278C"/>
    <w:rsid w:val="00986C2C"/>
    <w:rsid w:val="009A6EFE"/>
    <w:rsid w:val="009C47F7"/>
    <w:rsid w:val="009C7834"/>
    <w:rsid w:val="009E550C"/>
    <w:rsid w:val="00A3547C"/>
    <w:rsid w:val="00A65BF9"/>
    <w:rsid w:val="00AD1F60"/>
    <w:rsid w:val="00AE202A"/>
    <w:rsid w:val="00B02D21"/>
    <w:rsid w:val="00B04AFF"/>
    <w:rsid w:val="00B12454"/>
    <w:rsid w:val="00B138B7"/>
    <w:rsid w:val="00B207E8"/>
    <w:rsid w:val="00B242B9"/>
    <w:rsid w:val="00B54BE7"/>
    <w:rsid w:val="00B61B7A"/>
    <w:rsid w:val="00B77E06"/>
    <w:rsid w:val="00B83752"/>
    <w:rsid w:val="00B900A8"/>
    <w:rsid w:val="00BA0163"/>
    <w:rsid w:val="00BA38CC"/>
    <w:rsid w:val="00BB0C5F"/>
    <w:rsid w:val="00BD585A"/>
    <w:rsid w:val="00BE2492"/>
    <w:rsid w:val="00C03D59"/>
    <w:rsid w:val="00C03F22"/>
    <w:rsid w:val="00C074AE"/>
    <w:rsid w:val="00C429D4"/>
    <w:rsid w:val="00C62C36"/>
    <w:rsid w:val="00C72425"/>
    <w:rsid w:val="00CA51D6"/>
    <w:rsid w:val="00CC10C0"/>
    <w:rsid w:val="00CE5569"/>
    <w:rsid w:val="00D05931"/>
    <w:rsid w:val="00D07587"/>
    <w:rsid w:val="00D1401B"/>
    <w:rsid w:val="00D374B5"/>
    <w:rsid w:val="00D513ED"/>
    <w:rsid w:val="00D55B3F"/>
    <w:rsid w:val="00D84F62"/>
    <w:rsid w:val="00D86F58"/>
    <w:rsid w:val="00DA3F5B"/>
    <w:rsid w:val="00DA5E78"/>
    <w:rsid w:val="00DD24D2"/>
    <w:rsid w:val="00E03966"/>
    <w:rsid w:val="00E0557B"/>
    <w:rsid w:val="00E117CE"/>
    <w:rsid w:val="00E36E10"/>
    <w:rsid w:val="00E625A1"/>
    <w:rsid w:val="00E63A50"/>
    <w:rsid w:val="00E672A1"/>
    <w:rsid w:val="00E73B1C"/>
    <w:rsid w:val="00E761A9"/>
    <w:rsid w:val="00EC41BA"/>
    <w:rsid w:val="00EC4DF1"/>
    <w:rsid w:val="00ED0BEA"/>
    <w:rsid w:val="00ED1651"/>
    <w:rsid w:val="00ED28F6"/>
    <w:rsid w:val="00ED3B8B"/>
    <w:rsid w:val="00EE1908"/>
    <w:rsid w:val="00EE5755"/>
    <w:rsid w:val="00EE614F"/>
    <w:rsid w:val="00EE787A"/>
    <w:rsid w:val="00F03D67"/>
    <w:rsid w:val="00F165D1"/>
    <w:rsid w:val="00F30A1E"/>
    <w:rsid w:val="00F43483"/>
    <w:rsid w:val="00F50E9F"/>
    <w:rsid w:val="00F632E0"/>
    <w:rsid w:val="00F81C5C"/>
    <w:rsid w:val="00F867F7"/>
    <w:rsid w:val="00F91B1B"/>
    <w:rsid w:val="00F9584D"/>
    <w:rsid w:val="00FB3597"/>
    <w:rsid w:val="00FD5F16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E1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FA"/>
  </w:style>
  <w:style w:type="paragraph" w:styleId="Footer">
    <w:name w:val="footer"/>
    <w:basedOn w:val="Normal"/>
    <w:link w:val="FooterChar"/>
    <w:uiPriority w:val="99"/>
    <w:unhideWhenUsed/>
    <w:rsid w:val="002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E1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FA"/>
  </w:style>
  <w:style w:type="paragraph" w:styleId="Footer">
    <w:name w:val="footer"/>
    <w:basedOn w:val="Normal"/>
    <w:link w:val="FooterChar"/>
    <w:uiPriority w:val="99"/>
    <w:unhideWhenUsed/>
    <w:rsid w:val="002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33D3-FEC8-4206-ADED-DE7342D7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7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Nenadovic</dc:creator>
  <cp:lastModifiedBy>Aleksandra Balac</cp:lastModifiedBy>
  <cp:revision>18</cp:revision>
  <dcterms:created xsi:type="dcterms:W3CDTF">2017-12-12T13:28:00Z</dcterms:created>
  <dcterms:modified xsi:type="dcterms:W3CDTF">2018-01-05T14:09:00Z</dcterms:modified>
</cp:coreProperties>
</file>